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E5D1" w14:textId="7979DE2D" w:rsidR="00613F58" w:rsidRPr="001B1E94" w:rsidRDefault="00613F58" w:rsidP="00613F58">
      <w:pPr>
        <w:pStyle w:val="paragraph"/>
        <w:spacing w:before="0" w:beforeAutospacing="0" w:after="0" w:afterAutospacing="0"/>
        <w:textAlignment w:val="baseline"/>
        <w:rPr>
          <w:rStyle w:val="eop"/>
          <w:rFonts w:ascii="Franklin Gothic Medium Cond" w:hAnsi="Franklin Gothic Medium Cond" w:cs="Calibri"/>
          <w:color w:val="007935"/>
          <w:sz w:val="28"/>
          <w:szCs w:val="28"/>
        </w:rPr>
      </w:pPr>
      <w:r w:rsidRPr="001B1E94">
        <w:rPr>
          <w:rStyle w:val="normaltextrun"/>
          <w:rFonts w:ascii="Franklin Gothic Medium Cond" w:hAnsi="Franklin Gothic Medium Cond" w:cs="Calibri"/>
          <w:b/>
          <w:bCs/>
          <w:color w:val="007935"/>
          <w:sz w:val="28"/>
          <w:szCs w:val="28"/>
        </w:rPr>
        <w:t xml:space="preserve">ARPA FAQS: </w:t>
      </w:r>
      <w:r>
        <w:rPr>
          <w:rStyle w:val="normaltextrun"/>
          <w:rFonts w:ascii="Franklin Gothic Medium Cond" w:hAnsi="Franklin Gothic Medium Cond" w:cs="Calibri"/>
          <w:b/>
          <w:bCs/>
          <w:color w:val="007935"/>
          <w:sz w:val="28"/>
          <w:szCs w:val="28"/>
        </w:rPr>
        <w:t>Developing Community-Scale Drinking Water and Wastewater Systems</w:t>
      </w:r>
      <w:r w:rsidRPr="001B1E94">
        <w:rPr>
          <w:rStyle w:val="eop"/>
          <w:rFonts w:ascii="Franklin Gothic Medium Cond" w:hAnsi="Franklin Gothic Medium Cond" w:cs="Calibri"/>
          <w:color w:val="007935"/>
          <w:sz w:val="28"/>
          <w:szCs w:val="28"/>
        </w:rPr>
        <w:t> </w:t>
      </w:r>
    </w:p>
    <w:p w14:paraId="233B6F6D" w14:textId="77777777" w:rsidR="00613F58" w:rsidRPr="009C1FAA" w:rsidRDefault="00613F58" w:rsidP="00613F58">
      <w:pPr>
        <w:pStyle w:val="paragraph"/>
        <w:spacing w:before="0" w:beforeAutospacing="0" w:after="0" w:afterAutospacing="0"/>
        <w:textAlignment w:val="baseline"/>
        <w:rPr>
          <w:rStyle w:val="eop"/>
          <w:rFonts w:ascii="Franklin Gothic Book" w:hAnsi="Franklin Gothic Book" w:cs="Calibri"/>
          <w:color w:val="000000" w:themeColor="text1"/>
          <w:sz w:val="22"/>
          <w:szCs w:val="22"/>
        </w:rPr>
      </w:pPr>
      <w:r w:rsidRPr="009C1FAA">
        <w:rPr>
          <w:rStyle w:val="eop"/>
          <w:rFonts w:ascii="Franklin Gothic Book" w:hAnsi="Franklin Gothic Book" w:cs="Calibri"/>
          <w:color w:val="000000" w:themeColor="text1"/>
          <w:sz w:val="22"/>
          <w:szCs w:val="22"/>
        </w:rPr>
        <w:t>Vermont Agency of Natural Resources</w:t>
      </w:r>
    </w:p>
    <w:p w14:paraId="4C153674" w14:textId="77777777" w:rsidR="00613F58" w:rsidRPr="00004116" w:rsidRDefault="00613F58" w:rsidP="00613F58">
      <w:pPr>
        <w:spacing w:after="0"/>
        <w:rPr>
          <w:b/>
        </w:rPr>
      </w:pPr>
    </w:p>
    <w:p w14:paraId="2327EFF0" w14:textId="4E2C9B69" w:rsidR="00613F58" w:rsidRPr="00613F58" w:rsidRDefault="00613F58" w:rsidP="00D7191D">
      <w:pPr>
        <w:pStyle w:val="CommentText"/>
        <w:spacing w:after="0"/>
        <w:rPr>
          <w:rFonts w:ascii="Franklin Gothic Book" w:hAnsi="Franklin Gothic Book"/>
          <w:b/>
          <w:bCs/>
          <w:sz w:val="22"/>
          <w:szCs w:val="22"/>
        </w:rPr>
      </w:pPr>
      <w:r w:rsidRPr="00613F58">
        <w:rPr>
          <w:rFonts w:ascii="Franklin Gothic Book" w:hAnsi="Franklin Gothic Book"/>
          <w:b/>
          <w:bCs/>
          <w:sz w:val="22"/>
          <w:szCs w:val="22"/>
        </w:rPr>
        <w:t xml:space="preserve">What is the max and min awards? </w:t>
      </w:r>
    </w:p>
    <w:p w14:paraId="0C24B390" w14:textId="7FA02B61" w:rsidR="00613F58" w:rsidRDefault="00613F58" w:rsidP="00D7191D">
      <w:pPr>
        <w:pStyle w:val="CommentText"/>
        <w:spacing w:after="0"/>
        <w:rPr>
          <w:rFonts w:ascii="Franklin Gothic Book" w:hAnsi="Franklin Gothic Book"/>
          <w:sz w:val="22"/>
          <w:szCs w:val="22"/>
        </w:rPr>
      </w:pPr>
      <w:r w:rsidRPr="00613F58">
        <w:rPr>
          <w:rFonts w:ascii="Franklin Gothic Book" w:hAnsi="Franklin Gothic Book"/>
          <w:sz w:val="22"/>
          <w:szCs w:val="22"/>
        </w:rPr>
        <w:t>Awards are intended as gap funding. All systems are anticipated to have a combination of loans and grants</w:t>
      </w:r>
      <w:r w:rsidR="00D7191D">
        <w:rPr>
          <w:rFonts w:ascii="Franklin Gothic Book" w:hAnsi="Franklin Gothic Book"/>
          <w:sz w:val="22"/>
          <w:szCs w:val="22"/>
        </w:rPr>
        <w:t>. F</w:t>
      </w:r>
      <w:r w:rsidRPr="00613F58">
        <w:rPr>
          <w:rFonts w:ascii="Franklin Gothic Book" w:hAnsi="Franklin Gothic Book"/>
          <w:sz w:val="22"/>
          <w:szCs w:val="22"/>
        </w:rPr>
        <w:t xml:space="preserve">unding from other agencies is encouraged. </w:t>
      </w:r>
    </w:p>
    <w:p w14:paraId="7DC2D339" w14:textId="77777777" w:rsidR="00D7191D" w:rsidRPr="00613F58" w:rsidRDefault="00D7191D" w:rsidP="00D7191D">
      <w:pPr>
        <w:pStyle w:val="CommentText"/>
        <w:spacing w:after="0"/>
        <w:rPr>
          <w:rFonts w:ascii="Franklin Gothic Book" w:hAnsi="Franklin Gothic Book"/>
          <w:sz w:val="22"/>
          <w:szCs w:val="22"/>
        </w:rPr>
      </w:pPr>
    </w:p>
    <w:p w14:paraId="1700BAE9" w14:textId="77777777" w:rsidR="00613F58" w:rsidRDefault="00613F58" w:rsidP="00D7191D">
      <w:pPr>
        <w:pStyle w:val="CommentText"/>
        <w:spacing w:after="0"/>
        <w:rPr>
          <w:rFonts w:ascii="Franklin Gothic Book" w:hAnsi="Franklin Gothic Book"/>
          <w:sz w:val="22"/>
          <w:szCs w:val="22"/>
        </w:rPr>
      </w:pPr>
      <w:r w:rsidRPr="00613F58">
        <w:rPr>
          <w:rFonts w:ascii="Franklin Gothic Book" w:hAnsi="Franklin Gothic Book"/>
          <w:b/>
          <w:bCs/>
          <w:sz w:val="22"/>
          <w:szCs w:val="22"/>
        </w:rPr>
        <w:t>Who are eligible applicants?</w:t>
      </w:r>
      <w:r w:rsidRPr="00613F58">
        <w:rPr>
          <w:rFonts w:ascii="Franklin Gothic Book" w:hAnsi="Franklin Gothic Book"/>
          <w:sz w:val="22"/>
          <w:szCs w:val="22"/>
        </w:rPr>
        <w:t xml:space="preserve"> </w:t>
      </w:r>
    </w:p>
    <w:p w14:paraId="77095CDF" w14:textId="4C71B94F" w:rsidR="00613F58" w:rsidRDefault="00613F58" w:rsidP="00D7191D">
      <w:pPr>
        <w:pStyle w:val="CommentText"/>
        <w:spacing w:after="0"/>
        <w:rPr>
          <w:rFonts w:ascii="Franklin Gothic Book" w:hAnsi="Franklin Gothic Book"/>
          <w:sz w:val="22"/>
          <w:szCs w:val="22"/>
        </w:rPr>
      </w:pPr>
      <w:r w:rsidRPr="00613F58">
        <w:rPr>
          <w:rFonts w:ascii="Franklin Gothic Book" w:hAnsi="Franklin Gothic Book"/>
          <w:sz w:val="22"/>
          <w:szCs w:val="22"/>
        </w:rPr>
        <w:t>Municipalities with Designated Villages that need new community systems for public drinking water or wastewater disposal to serve the Designated Villages.</w:t>
      </w:r>
    </w:p>
    <w:p w14:paraId="41DEECBB" w14:textId="77777777" w:rsidR="00D7191D" w:rsidRPr="00613F58" w:rsidRDefault="00D7191D" w:rsidP="00D7191D">
      <w:pPr>
        <w:pStyle w:val="CommentText"/>
        <w:spacing w:after="0"/>
        <w:rPr>
          <w:rFonts w:ascii="Franklin Gothic Book" w:hAnsi="Franklin Gothic Book"/>
          <w:sz w:val="22"/>
          <w:szCs w:val="22"/>
        </w:rPr>
      </w:pPr>
    </w:p>
    <w:p w14:paraId="46614304" w14:textId="77777777" w:rsidR="00D7191D" w:rsidRDefault="00613F58" w:rsidP="00D7191D">
      <w:pPr>
        <w:pStyle w:val="CommentText"/>
        <w:spacing w:after="0"/>
        <w:rPr>
          <w:rFonts w:ascii="Franklin Gothic Book" w:hAnsi="Franklin Gothic Book"/>
          <w:sz w:val="22"/>
          <w:szCs w:val="22"/>
        </w:rPr>
      </w:pPr>
      <w:r w:rsidRPr="00D7191D">
        <w:rPr>
          <w:rFonts w:ascii="Franklin Gothic Book" w:hAnsi="Franklin Gothic Book"/>
          <w:b/>
          <w:bCs/>
          <w:sz w:val="22"/>
          <w:szCs w:val="22"/>
        </w:rPr>
        <w:t xml:space="preserve">Is there a grant match and if so, what is the </w:t>
      </w:r>
      <w:r w:rsidR="00D7191D" w:rsidRPr="00D7191D">
        <w:rPr>
          <w:rFonts w:ascii="Franklin Gothic Book" w:hAnsi="Franklin Gothic Book"/>
          <w:b/>
          <w:bCs/>
          <w:sz w:val="22"/>
          <w:szCs w:val="22"/>
        </w:rPr>
        <w:t>percentage</w:t>
      </w:r>
      <w:r w:rsidRPr="00D7191D">
        <w:rPr>
          <w:rFonts w:ascii="Franklin Gothic Book" w:hAnsi="Franklin Gothic Book"/>
          <w:b/>
          <w:bCs/>
          <w:sz w:val="22"/>
          <w:szCs w:val="22"/>
        </w:rPr>
        <w:t xml:space="preserve"> and the type of funds that can be used as match?</w:t>
      </w:r>
      <w:r w:rsidRPr="00613F58">
        <w:rPr>
          <w:rFonts w:ascii="Franklin Gothic Book" w:hAnsi="Franklin Gothic Book"/>
          <w:sz w:val="22"/>
          <w:szCs w:val="22"/>
        </w:rPr>
        <w:t xml:space="preserve"> </w:t>
      </w:r>
    </w:p>
    <w:p w14:paraId="3D3CD4BE" w14:textId="105E1D46" w:rsidR="00613F58" w:rsidRDefault="00613F58" w:rsidP="00D7191D">
      <w:pPr>
        <w:pStyle w:val="CommentText"/>
        <w:spacing w:after="0"/>
        <w:rPr>
          <w:rFonts w:ascii="Franklin Gothic Book" w:hAnsi="Franklin Gothic Book"/>
          <w:sz w:val="22"/>
          <w:szCs w:val="22"/>
        </w:rPr>
      </w:pPr>
      <w:r w:rsidRPr="00613F58">
        <w:rPr>
          <w:rFonts w:ascii="Franklin Gothic Book" w:hAnsi="Franklin Gothic Book"/>
          <w:sz w:val="22"/>
          <w:szCs w:val="22"/>
        </w:rPr>
        <w:t xml:space="preserve">While there is not a percentage match requirement, communities are expected to pay affordable rates for the new utilities with some debt repayment via a loan program. </w:t>
      </w:r>
    </w:p>
    <w:p w14:paraId="0595C85F" w14:textId="77777777" w:rsidR="00D7191D" w:rsidRPr="00613F58" w:rsidRDefault="00D7191D" w:rsidP="00D7191D">
      <w:pPr>
        <w:pStyle w:val="CommentText"/>
        <w:spacing w:after="0"/>
        <w:rPr>
          <w:rFonts w:ascii="Franklin Gothic Book" w:hAnsi="Franklin Gothic Book"/>
          <w:sz w:val="22"/>
          <w:szCs w:val="22"/>
        </w:rPr>
      </w:pPr>
    </w:p>
    <w:p w14:paraId="6815F988" w14:textId="77777777" w:rsidR="00D7191D" w:rsidRPr="00D7191D" w:rsidRDefault="00613F58" w:rsidP="00D7191D">
      <w:pPr>
        <w:spacing w:after="0"/>
        <w:rPr>
          <w:rFonts w:ascii="Franklin Gothic Book" w:hAnsi="Franklin Gothic Book"/>
          <w:b/>
          <w:bCs/>
        </w:rPr>
      </w:pPr>
      <w:r w:rsidRPr="00D7191D">
        <w:rPr>
          <w:rFonts w:ascii="Franklin Gothic Book" w:hAnsi="Franklin Gothic Book"/>
          <w:b/>
          <w:bCs/>
        </w:rPr>
        <w:t xml:space="preserve">Do local ARPA funds have to be included in the project?  If so, at what level and when do they need to enter the project – seed or close?  </w:t>
      </w:r>
    </w:p>
    <w:p w14:paraId="61BA4F11" w14:textId="70DB73F9" w:rsidR="00613F58" w:rsidRDefault="00613F58" w:rsidP="00D7191D">
      <w:pPr>
        <w:spacing w:after="0"/>
        <w:rPr>
          <w:rFonts w:ascii="Franklin Gothic Book" w:hAnsi="Franklin Gothic Book"/>
        </w:rPr>
      </w:pPr>
      <w:r w:rsidRPr="00D7191D">
        <w:rPr>
          <w:rFonts w:ascii="Franklin Gothic Book" w:hAnsi="Franklin Gothic Book"/>
        </w:rPr>
        <w:t>No, there is no requirement to use local ARPA funds. Communities may choose to use local APRA funds.</w:t>
      </w:r>
    </w:p>
    <w:p w14:paraId="00DC2377" w14:textId="77777777" w:rsidR="00D7191D" w:rsidRPr="00D7191D" w:rsidRDefault="00D7191D" w:rsidP="00D7191D">
      <w:pPr>
        <w:spacing w:after="0"/>
        <w:rPr>
          <w:rFonts w:ascii="Franklin Gothic Book" w:hAnsi="Franklin Gothic Book"/>
        </w:rPr>
      </w:pPr>
    </w:p>
    <w:p w14:paraId="4C9A491E" w14:textId="77777777" w:rsidR="00D7191D" w:rsidRPr="00D7191D" w:rsidRDefault="00613F58" w:rsidP="00D7191D">
      <w:pPr>
        <w:spacing w:after="0"/>
        <w:rPr>
          <w:rFonts w:ascii="Franklin Gothic Book" w:hAnsi="Franklin Gothic Book"/>
          <w:b/>
          <w:bCs/>
        </w:rPr>
      </w:pPr>
      <w:r w:rsidRPr="00D7191D">
        <w:rPr>
          <w:rFonts w:ascii="Franklin Gothic Book" w:hAnsi="Franklin Gothic Book"/>
          <w:b/>
          <w:bCs/>
        </w:rPr>
        <w:t xml:space="preserve">What is the IUP?   </w:t>
      </w:r>
    </w:p>
    <w:p w14:paraId="43783B68" w14:textId="756D68CB" w:rsidR="00613F58" w:rsidRDefault="00613F58" w:rsidP="00D7191D">
      <w:pPr>
        <w:spacing w:after="0"/>
        <w:rPr>
          <w:rFonts w:ascii="Franklin Gothic Book" w:hAnsi="Franklin Gothic Book"/>
        </w:rPr>
      </w:pPr>
      <w:r w:rsidRPr="00D7191D">
        <w:rPr>
          <w:rFonts w:ascii="Franklin Gothic Book" w:hAnsi="Franklin Gothic Book"/>
        </w:rPr>
        <w:t xml:space="preserve">The IUP is the Intended Use Plan. Both the Clean Water </w:t>
      </w:r>
      <w:r w:rsidR="001602B3">
        <w:rPr>
          <w:rFonts w:ascii="Franklin Gothic Book" w:hAnsi="Franklin Gothic Book"/>
        </w:rPr>
        <w:t xml:space="preserve">(CWSRF) </w:t>
      </w:r>
      <w:r w:rsidRPr="00D7191D">
        <w:rPr>
          <w:rFonts w:ascii="Franklin Gothic Book" w:hAnsi="Franklin Gothic Book"/>
        </w:rPr>
        <w:t xml:space="preserve">and Drinking Water State Revolving Fund </w:t>
      </w:r>
      <w:r w:rsidR="001602B3">
        <w:rPr>
          <w:rFonts w:ascii="Franklin Gothic Book" w:hAnsi="Franklin Gothic Book"/>
        </w:rPr>
        <w:t xml:space="preserve">(DWSRF) </w:t>
      </w:r>
      <w:r w:rsidRPr="00D7191D">
        <w:rPr>
          <w:rFonts w:ascii="Franklin Gothic Book" w:hAnsi="Franklin Gothic Book"/>
        </w:rPr>
        <w:t xml:space="preserve">Programs use the IUP to indicate how they will use subsidies and the capitalization of the funds from EPA’s grants. Policies and funding opportunities change annual and involve a public process and a call for projects. </w:t>
      </w:r>
    </w:p>
    <w:p w14:paraId="34C85261" w14:textId="77777777" w:rsidR="00D7191D" w:rsidRPr="00D7191D" w:rsidRDefault="00D7191D" w:rsidP="00D7191D">
      <w:pPr>
        <w:spacing w:after="0"/>
        <w:rPr>
          <w:rFonts w:ascii="Franklin Gothic Book" w:hAnsi="Franklin Gothic Book"/>
        </w:rPr>
      </w:pPr>
    </w:p>
    <w:p w14:paraId="58A29BFE" w14:textId="77777777" w:rsidR="00D7191D" w:rsidRPr="00D7191D" w:rsidRDefault="00613F58" w:rsidP="00D7191D">
      <w:pPr>
        <w:spacing w:after="0"/>
        <w:rPr>
          <w:rFonts w:ascii="Franklin Gothic Book" w:hAnsi="Franklin Gothic Book"/>
          <w:b/>
          <w:bCs/>
        </w:rPr>
      </w:pPr>
      <w:r w:rsidRPr="00D7191D">
        <w:rPr>
          <w:rFonts w:ascii="Franklin Gothic Book" w:hAnsi="Franklin Gothic Book"/>
          <w:b/>
          <w:bCs/>
        </w:rPr>
        <w:t xml:space="preserve">What are the steps for the IUP? </w:t>
      </w:r>
    </w:p>
    <w:p w14:paraId="768BE4C3" w14:textId="41755EF1" w:rsidR="00613F58" w:rsidRDefault="00613F58" w:rsidP="00D7191D">
      <w:pPr>
        <w:spacing w:after="0"/>
        <w:rPr>
          <w:rFonts w:ascii="Franklin Gothic Book" w:hAnsi="Franklin Gothic Book"/>
        </w:rPr>
      </w:pPr>
      <w:r w:rsidRPr="00D7191D">
        <w:rPr>
          <w:rFonts w:ascii="Franklin Gothic Book" w:hAnsi="Franklin Gothic Book"/>
        </w:rPr>
        <w:t xml:space="preserve">The IUP process starts with a call for projects. That call went out on 1/18/22 by email and is posted on our </w:t>
      </w:r>
      <w:hyperlink r:id="rId7" w:history="1">
        <w:r w:rsidRPr="00D7191D">
          <w:rPr>
            <w:rStyle w:val="Hyperlink"/>
            <w:rFonts w:ascii="Franklin Gothic Book" w:hAnsi="Franklin Gothic Book"/>
          </w:rPr>
          <w:t>website</w:t>
        </w:r>
      </w:hyperlink>
      <w:r w:rsidRPr="00D7191D">
        <w:rPr>
          <w:rFonts w:ascii="Franklin Gothic Book" w:hAnsi="Franklin Gothic Book"/>
        </w:rPr>
        <w:t xml:space="preserve">. Applications for each list (Clean Water </w:t>
      </w:r>
      <w:r w:rsidR="001602B3">
        <w:rPr>
          <w:rFonts w:ascii="Franklin Gothic Book" w:hAnsi="Franklin Gothic Book"/>
        </w:rPr>
        <w:t>(</w:t>
      </w:r>
      <w:r w:rsidRPr="00D7191D">
        <w:rPr>
          <w:rFonts w:ascii="Franklin Gothic Book" w:hAnsi="Franklin Gothic Book"/>
        </w:rPr>
        <w:t>for wastewater</w:t>
      </w:r>
      <w:r w:rsidR="001602B3">
        <w:rPr>
          <w:rFonts w:ascii="Franklin Gothic Book" w:hAnsi="Franklin Gothic Book"/>
        </w:rPr>
        <w:t xml:space="preserve"> projects)</w:t>
      </w:r>
      <w:r w:rsidRPr="00D7191D">
        <w:rPr>
          <w:rFonts w:ascii="Franklin Gothic Book" w:hAnsi="Franklin Gothic Book"/>
        </w:rPr>
        <w:t xml:space="preserve"> or Drinking Water for drinking water projects must be completed and submitted by 2/28/22. The applications are then processed and a draft of each IUP and each Project Priority List is issued for public comment along with a public hearing. The IUPs are each tied to a state </w:t>
      </w:r>
      <w:r w:rsidR="00D7191D" w:rsidRPr="00D7191D">
        <w:rPr>
          <w:rFonts w:ascii="Franklin Gothic Book" w:hAnsi="Franklin Gothic Book"/>
        </w:rPr>
        <w:t>fiscal</w:t>
      </w:r>
      <w:r w:rsidRPr="00D7191D">
        <w:rPr>
          <w:rFonts w:ascii="Franklin Gothic Book" w:hAnsi="Franklin Gothic Book"/>
        </w:rPr>
        <w:t xml:space="preserve"> year (SFY). </w:t>
      </w:r>
    </w:p>
    <w:p w14:paraId="263A71EB" w14:textId="77777777" w:rsidR="00D7191D" w:rsidRPr="00D7191D" w:rsidRDefault="00D7191D" w:rsidP="00D7191D">
      <w:pPr>
        <w:spacing w:after="0"/>
        <w:rPr>
          <w:rFonts w:ascii="Franklin Gothic Book" w:eastAsiaTheme="minorEastAsia" w:hAnsi="Franklin Gothic Book"/>
        </w:rPr>
      </w:pPr>
    </w:p>
    <w:p w14:paraId="1E3EE4DC" w14:textId="77777777" w:rsidR="00D7191D" w:rsidRDefault="00613F58" w:rsidP="00D7191D">
      <w:pPr>
        <w:spacing w:after="0"/>
        <w:rPr>
          <w:rFonts w:ascii="Franklin Gothic Book" w:hAnsi="Franklin Gothic Book"/>
          <w:b/>
          <w:bCs/>
        </w:rPr>
      </w:pPr>
      <w:r w:rsidRPr="00D7191D">
        <w:rPr>
          <w:rFonts w:ascii="Franklin Gothic Book" w:hAnsi="Franklin Gothic Book"/>
          <w:b/>
          <w:bCs/>
        </w:rPr>
        <w:t xml:space="preserve">If a town is already on the IUP, do they need to complete any of the steps that you mentioned so far?  </w:t>
      </w:r>
    </w:p>
    <w:p w14:paraId="6FD400D4" w14:textId="0104A527" w:rsidR="00613F58" w:rsidRDefault="00613F58" w:rsidP="00D7191D">
      <w:pPr>
        <w:spacing w:after="0"/>
        <w:rPr>
          <w:rFonts w:ascii="Franklin Gothic Book" w:hAnsi="Franklin Gothic Book"/>
        </w:rPr>
      </w:pPr>
      <w:r w:rsidRPr="00D7191D">
        <w:rPr>
          <w:rFonts w:ascii="Franklin Gothic Book" w:hAnsi="Franklin Gothic Book"/>
        </w:rPr>
        <w:t xml:space="preserve">The towns should sign up for ARPA notifications on the </w:t>
      </w:r>
      <w:hyperlink r:id="rId8" w:history="1">
        <w:r w:rsidRPr="001602B3">
          <w:rPr>
            <w:rStyle w:val="Hyperlink"/>
            <w:rFonts w:ascii="Franklin Gothic Book" w:hAnsi="Franklin Gothic Book"/>
          </w:rPr>
          <w:t>ARPA interest form</w:t>
        </w:r>
      </w:hyperlink>
      <w:r w:rsidRPr="00D7191D">
        <w:rPr>
          <w:rFonts w:ascii="Franklin Gothic Book" w:hAnsi="Franklin Gothic Book"/>
        </w:rPr>
        <w:t xml:space="preserve">, </w:t>
      </w:r>
      <w:r w:rsidR="001602B3">
        <w:rPr>
          <w:rFonts w:ascii="Franklin Gothic Book" w:hAnsi="Franklin Gothic Book"/>
        </w:rPr>
        <w:t>and</w:t>
      </w:r>
      <w:r w:rsidRPr="00D7191D">
        <w:rPr>
          <w:rFonts w:ascii="Franklin Gothic Book" w:hAnsi="Franklin Gothic Book"/>
        </w:rPr>
        <w:t xml:space="preserve"> projects on a current IUP will be funded in the order that they are ranked. Project</w:t>
      </w:r>
      <w:r w:rsidR="001602B3">
        <w:rPr>
          <w:rFonts w:ascii="Franklin Gothic Book" w:hAnsi="Franklin Gothic Book"/>
        </w:rPr>
        <w:t xml:space="preserve"> applicants</w:t>
      </w:r>
      <w:r w:rsidRPr="00D7191D">
        <w:rPr>
          <w:rFonts w:ascii="Franklin Gothic Book" w:hAnsi="Franklin Gothic Book"/>
        </w:rPr>
        <w:t xml:space="preserve"> need to apply annually for each IUP to be considered if any additional funding is requested.</w:t>
      </w:r>
      <w:r w:rsidR="00D7191D">
        <w:rPr>
          <w:rFonts w:ascii="Franklin Gothic Book" w:hAnsi="Franklin Gothic Book"/>
        </w:rPr>
        <w:t xml:space="preserve"> </w:t>
      </w:r>
      <w:r w:rsidR="001602B3" w:rsidRPr="00D7191D">
        <w:rPr>
          <w:rFonts w:ascii="Franklin Gothic Book" w:hAnsi="Franklin Gothic Book"/>
        </w:rPr>
        <w:t>Construction</w:t>
      </w:r>
      <w:r w:rsidRPr="00D7191D">
        <w:rPr>
          <w:rFonts w:ascii="Franklin Gothic Book" w:hAnsi="Franklin Gothic Book"/>
        </w:rPr>
        <w:t xml:space="preserve"> funds and land purchase funds must be listed.  </w:t>
      </w:r>
    </w:p>
    <w:p w14:paraId="6C30CD1D" w14:textId="77777777" w:rsidR="001602B3" w:rsidRPr="00D7191D" w:rsidRDefault="001602B3" w:rsidP="00D7191D">
      <w:pPr>
        <w:spacing w:after="0"/>
        <w:rPr>
          <w:rFonts w:ascii="Franklin Gothic Book" w:hAnsi="Franklin Gothic Book"/>
        </w:rPr>
      </w:pPr>
    </w:p>
    <w:p w14:paraId="1FE7A408" w14:textId="77777777" w:rsidR="00D7191D" w:rsidRDefault="00613F58" w:rsidP="001602B3">
      <w:pPr>
        <w:spacing w:after="0"/>
        <w:rPr>
          <w:rFonts w:ascii="Franklin Gothic Book" w:hAnsi="Franklin Gothic Book"/>
        </w:rPr>
      </w:pPr>
      <w:r w:rsidRPr="00D7191D">
        <w:rPr>
          <w:rFonts w:ascii="Franklin Gothic Book" w:hAnsi="Franklin Gothic Book"/>
          <w:b/>
          <w:bCs/>
        </w:rPr>
        <w:t>Is it possible to see what towns have projects on the IUP list?</w:t>
      </w:r>
      <w:r w:rsidRPr="00D7191D">
        <w:rPr>
          <w:rFonts w:ascii="Franklin Gothic Book" w:hAnsi="Franklin Gothic Book"/>
        </w:rPr>
        <w:t xml:space="preserve">  </w:t>
      </w:r>
    </w:p>
    <w:p w14:paraId="145223EB" w14:textId="16E64377" w:rsidR="00D7191D" w:rsidRPr="001602B3" w:rsidRDefault="00613F58" w:rsidP="001602B3">
      <w:pPr>
        <w:rPr>
          <w:rFonts w:ascii="Franklin Gothic Book" w:eastAsiaTheme="minorEastAsia" w:hAnsi="Franklin Gothic Book"/>
        </w:rPr>
      </w:pPr>
      <w:r w:rsidRPr="00D7191D">
        <w:rPr>
          <w:rFonts w:ascii="Franklin Gothic Book" w:hAnsi="Franklin Gothic Book"/>
        </w:rPr>
        <w:t xml:space="preserve">Yes, </w:t>
      </w:r>
      <w:hyperlink r:id="rId9" w:history="1">
        <w:r w:rsidR="001602B3" w:rsidRPr="001602B3">
          <w:rPr>
            <w:rStyle w:val="Hyperlink"/>
            <w:rFonts w:ascii="Franklin Gothic Book" w:hAnsi="Franklin Gothic Book"/>
          </w:rPr>
          <w:t>this list</w:t>
        </w:r>
      </w:hyperlink>
      <w:r w:rsidR="001602B3">
        <w:rPr>
          <w:rFonts w:ascii="Franklin Gothic Book" w:hAnsi="Franklin Gothic Book"/>
        </w:rPr>
        <w:t xml:space="preserve"> shows </w:t>
      </w:r>
      <w:r w:rsidRPr="00D7191D">
        <w:rPr>
          <w:rFonts w:ascii="Franklin Gothic Book" w:hAnsi="Franklin Gothic Book"/>
        </w:rPr>
        <w:t>current and past IUPs</w:t>
      </w:r>
      <w:r w:rsidR="001602B3">
        <w:rPr>
          <w:rFonts w:ascii="Franklin Gothic Book" w:hAnsi="Franklin Gothic Book"/>
        </w:rPr>
        <w:t>.</w:t>
      </w:r>
      <w:r w:rsidRPr="00D7191D">
        <w:rPr>
          <w:rFonts w:ascii="Franklin Gothic Book" w:hAnsi="Franklin Gothic Book"/>
        </w:rPr>
        <w:t xml:space="preserve"> </w:t>
      </w:r>
    </w:p>
    <w:p w14:paraId="5935DB5E" w14:textId="77777777" w:rsidR="00D7191D" w:rsidRPr="00D7191D" w:rsidRDefault="00613F58" w:rsidP="00D7191D">
      <w:pPr>
        <w:rPr>
          <w:rFonts w:ascii="Franklin Gothic Book" w:hAnsi="Franklin Gothic Book"/>
          <w:b/>
          <w:bCs/>
          <w:color w:val="FF0000"/>
        </w:rPr>
      </w:pPr>
      <w:r w:rsidRPr="00D7191D">
        <w:rPr>
          <w:rFonts w:ascii="Franklin Gothic Book" w:hAnsi="Franklin Gothic Book"/>
          <w:b/>
          <w:bCs/>
        </w:rPr>
        <w:t>Is there a minimum number of users needed for State Village ARPA to fund a community water system?</w:t>
      </w:r>
      <w:r w:rsidRPr="00D7191D">
        <w:rPr>
          <w:rFonts w:ascii="Franklin Gothic Book" w:hAnsi="Franklin Gothic Book"/>
          <w:b/>
          <w:bCs/>
          <w:color w:val="FF0000"/>
        </w:rPr>
        <w:t xml:space="preserve"> </w:t>
      </w:r>
    </w:p>
    <w:p w14:paraId="30EF9262" w14:textId="1675AB09" w:rsidR="00613F58" w:rsidRPr="001602B3" w:rsidRDefault="00613F58" w:rsidP="00D7191D">
      <w:pPr>
        <w:rPr>
          <w:rFonts w:ascii="Franklin Gothic Book" w:hAnsi="Franklin Gothic Book"/>
        </w:rPr>
      </w:pPr>
      <w:r w:rsidRPr="001602B3">
        <w:rPr>
          <w:rFonts w:ascii="Franklin Gothic Book" w:hAnsi="Franklin Gothic Book"/>
        </w:rPr>
        <w:lastRenderedPageBreak/>
        <w:t xml:space="preserve">The definition of a public community water system is that it serves 15 or more connections, or at least 25 year-round residents. ARPA Village Drinking Water projects must be DWSRF eligible, and that eligibility requires the system to be a public community water system. For </w:t>
      </w:r>
      <w:r w:rsidR="001602B3">
        <w:rPr>
          <w:rFonts w:ascii="Franklin Gothic Book" w:hAnsi="Franklin Gothic Book"/>
        </w:rPr>
        <w:t>the CWSRF</w:t>
      </w:r>
      <w:r w:rsidRPr="001602B3">
        <w:rPr>
          <w:rFonts w:ascii="Franklin Gothic Book" w:hAnsi="Franklin Gothic Book"/>
        </w:rPr>
        <w:t xml:space="preserve">, there is no minimum system size and communities are encouraged to consider a wide variety of solutions which may include combinations of individual systems, small cluster systems, large cluster systems, and Indirect Discharge Systems (more than 6500 gallons per day). </w:t>
      </w:r>
    </w:p>
    <w:p w14:paraId="6DFE4914" w14:textId="77777777" w:rsidR="00D7191D" w:rsidRPr="00D7191D" w:rsidRDefault="00613F58" w:rsidP="001602B3">
      <w:pPr>
        <w:spacing w:after="0"/>
        <w:rPr>
          <w:rFonts w:ascii="Franklin Gothic Book" w:hAnsi="Franklin Gothic Book"/>
          <w:b/>
          <w:bCs/>
          <w:color w:val="FF0000"/>
        </w:rPr>
      </w:pPr>
      <w:r w:rsidRPr="00D7191D">
        <w:rPr>
          <w:rFonts w:ascii="Franklin Gothic Book" w:hAnsi="Franklin Gothic Book"/>
          <w:b/>
          <w:bCs/>
        </w:rPr>
        <w:t>Generally, what is the minimum number of users that would be needed to support a community scale system in a sustainable way?</w:t>
      </w:r>
      <w:r w:rsidRPr="00D7191D">
        <w:rPr>
          <w:rFonts w:ascii="Franklin Gothic Book" w:hAnsi="Franklin Gothic Book"/>
          <w:b/>
          <w:bCs/>
          <w:color w:val="FF0000"/>
        </w:rPr>
        <w:t xml:space="preserve">  </w:t>
      </w:r>
    </w:p>
    <w:p w14:paraId="71CF904A" w14:textId="6BC760FA" w:rsidR="00613F58" w:rsidRDefault="00613F58" w:rsidP="001602B3">
      <w:pPr>
        <w:spacing w:after="0"/>
        <w:rPr>
          <w:rFonts w:ascii="Franklin Gothic Book" w:hAnsi="Franklin Gothic Book"/>
        </w:rPr>
      </w:pPr>
      <w:r w:rsidRPr="001602B3">
        <w:rPr>
          <w:rFonts w:ascii="Franklin Gothic Book" w:hAnsi="Franklin Gothic Book"/>
        </w:rPr>
        <w:t xml:space="preserve">This is highly variable between wastewater and drinking water. Typically, more </w:t>
      </w:r>
      <w:r w:rsidR="001602B3">
        <w:rPr>
          <w:rFonts w:ascii="Franklin Gothic Book" w:hAnsi="Franklin Gothic Book"/>
        </w:rPr>
        <w:t xml:space="preserve">connected </w:t>
      </w:r>
      <w:r w:rsidRPr="001602B3">
        <w:rPr>
          <w:rFonts w:ascii="Franklin Gothic Book" w:hAnsi="Franklin Gothic Book"/>
        </w:rPr>
        <w:t xml:space="preserve">users will lead to more affordable user rates. However, the simplicity of the system and any permitting or energy requirements also change the project costs. </w:t>
      </w:r>
    </w:p>
    <w:p w14:paraId="2E7E9E6E" w14:textId="77777777" w:rsidR="001602B3" w:rsidRPr="001602B3" w:rsidRDefault="001602B3" w:rsidP="001602B3">
      <w:pPr>
        <w:spacing w:after="0"/>
        <w:rPr>
          <w:rFonts w:ascii="Franklin Gothic Book" w:hAnsi="Franklin Gothic Book"/>
        </w:rPr>
      </w:pPr>
    </w:p>
    <w:p w14:paraId="5ACBFF40" w14:textId="77777777" w:rsidR="00D7191D" w:rsidRPr="00D7191D" w:rsidRDefault="00613F58" w:rsidP="001602B3">
      <w:pPr>
        <w:spacing w:after="0"/>
        <w:rPr>
          <w:rFonts w:ascii="Franklin Gothic Book" w:hAnsi="Franklin Gothic Book" w:cstheme="minorHAnsi"/>
          <w:b/>
          <w:bCs/>
        </w:rPr>
      </w:pPr>
      <w:r w:rsidRPr="00D7191D">
        <w:rPr>
          <w:rFonts w:ascii="Franklin Gothic Book" w:hAnsi="Franklin Gothic Book" w:cstheme="minorHAnsi"/>
          <w:b/>
          <w:bCs/>
        </w:rPr>
        <w:t xml:space="preserve">Are environmental justice issues addressed in the eligibility parameters?  </w:t>
      </w:r>
    </w:p>
    <w:p w14:paraId="42DF6D28" w14:textId="55FFC983" w:rsidR="00613F58" w:rsidRPr="00D7191D" w:rsidRDefault="00613F58" w:rsidP="001602B3">
      <w:pPr>
        <w:spacing w:after="0"/>
        <w:rPr>
          <w:rFonts w:ascii="Franklin Gothic Book" w:hAnsi="Franklin Gothic Book" w:cstheme="minorHAnsi"/>
        </w:rPr>
      </w:pPr>
      <w:r w:rsidRPr="00D7191D">
        <w:rPr>
          <w:rFonts w:ascii="Franklin Gothic Book" w:hAnsi="Franklin Gothic Book" w:cstheme="minorHAnsi"/>
        </w:rPr>
        <w:t xml:space="preserve">Villages have been self-selecting for inclusion in the </w:t>
      </w:r>
      <w:hyperlink r:id="rId10" w:history="1">
        <w:r w:rsidRPr="00431F1F">
          <w:rPr>
            <w:rStyle w:val="Hyperlink"/>
            <w:rFonts w:ascii="Franklin Gothic Book" w:hAnsi="Franklin Gothic Book" w:cstheme="minorHAnsi"/>
          </w:rPr>
          <w:t>Village</w:t>
        </w:r>
        <w:r w:rsidR="00431F1F">
          <w:rPr>
            <w:rStyle w:val="Hyperlink"/>
            <w:rFonts w:ascii="Franklin Gothic Book" w:hAnsi="Franklin Gothic Book" w:cstheme="minorHAnsi"/>
          </w:rPr>
          <w:t xml:space="preserve"> Wastewater Solutions</w:t>
        </w:r>
        <w:r w:rsidRPr="00431F1F">
          <w:rPr>
            <w:rStyle w:val="Hyperlink"/>
            <w:rFonts w:ascii="Franklin Gothic Book" w:hAnsi="Franklin Gothic Book" w:cstheme="minorHAnsi"/>
          </w:rPr>
          <w:t xml:space="preserve"> Initiative</w:t>
        </w:r>
      </w:hyperlink>
      <w:r w:rsidRPr="00D7191D">
        <w:rPr>
          <w:rFonts w:ascii="Franklin Gothic Book" w:hAnsi="Franklin Gothic Book" w:cstheme="minorHAnsi"/>
        </w:rPr>
        <w:t>. Grants are calculated to support an affordable user base for the future system users. Affordability is a metric developed by EPA and is equal to the User Rate divided by the System Median Household Income (MHI). Grant formulas are scaled if the community falls below the statewide average MHI.</w:t>
      </w:r>
    </w:p>
    <w:p w14:paraId="1BEFF2F0" w14:textId="77777777" w:rsidR="00431F1F" w:rsidRDefault="00431F1F" w:rsidP="00D7191D">
      <w:pPr>
        <w:rPr>
          <w:rFonts w:ascii="Franklin Gothic Book" w:hAnsi="Franklin Gothic Book"/>
          <w:b/>
          <w:bCs/>
        </w:rPr>
      </w:pPr>
    </w:p>
    <w:p w14:paraId="46D104DF" w14:textId="4FE8EC5F" w:rsidR="00D7191D" w:rsidRPr="00D7191D" w:rsidRDefault="00613F58" w:rsidP="00431F1F">
      <w:pPr>
        <w:spacing w:after="0"/>
        <w:rPr>
          <w:rFonts w:ascii="Franklin Gothic Book" w:hAnsi="Franklin Gothic Book"/>
          <w:b/>
          <w:bCs/>
        </w:rPr>
      </w:pPr>
      <w:r w:rsidRPr="00D7191D">
        <w:rPr>
          <w:rFonts w:ascii="Franklin Gothic Book" w:hAnsi="Franklin Gothic Book"/>
          <w:b/>
          <w:bCs/>
        </w:rPr>
        <w:t>Is extending a neighboring town</w:t>
      </w:r>
      <w:r w:rsidR="00431F1F">
        <w:rPr>
          <w:rFonts w:ascii="Franklin Gothic Book" w:hAnsi="Franklin Gothic Book"/>
          <w:b/>
          <w:bCs/>
        </w:rPr>
        <w:t>’</w:t>
      </w:r>
      <w:r w:rsidRPr="00D7191D">
        <w:rPr>
          <w:rFonts w:ascii="Franklin Gothic Book" w:hAnsi="Franklin Gothic Book"/>
          <w:b/>
          <w:bCs/>
        </w:rPr>
        <w:t xml:space="preserve">s wastewater system into an area in our town eligible? </w:t>
      </w:r>
    </w:p>
    <w:p w14:paraId="106B5E31" w14:textId="60A8C7A6" w:rsidR="00613F58" w:rsidRPr="00D7191D" w:rsidRDefault="00613F58" w:rsidP="00431F1F">
      <w:pPr>
        <w:spacing w:after="0"/>
        <w:rPr>
          <w:rFonts w:ascii="Franklin Gothic Book" w:hAnsi="Franklin Gothic Book"/>
        </w:rPr>
      </w:pPr>
      <w:r w:rsidRPr="00D7191D">
        <w:rPr>
          <w:rFonts w:ascii="Franklin Gothic Book" w:hAnsi="Franklin Gothic Book"/>
        </w:rPr>
        <w:t xml:space="preserve">One solution for communities </w:t>
      </w:r>
      <w:r w:rsidR="00431F1F">
        <w:rPr>
          <w:rFonts w:ascii="Franklin Gothic Book" w:hAnsi="Franklin Gothic Book"/>
        </w:rPr>
        <w:t>that are close to a</w:t>
      </w:r>
      <w:r w:rsidR="00431F1F" w:rsidRPr="00D7191D">
        <w:rPr>
          <w:rFonts w:ascii="Franklin Gothic Book" w:hAnsi="Franklin Gothic Book"/>
        </w:rPr>
        <w:t xml:space="preserve"> municipal collection system in a different town</w:t>
      </w:r>
      <w:r w:rsidR="00431F1F">
        <w:rPr>
          <w:rFonts w:ascii="Franklin Gothic Book" w:hAnsi="Franklin Gothic Book"/>
        </w:rPr>
        <w:t xml:space="preserve"> is</w:t>
      </w:r>
      <w:r w:rsidR="00431F1F" w:rsidRPr="00D7191D">
        <w:rPr>
          <w:rFonts w:ascii="Franklin Gothic Book" w:hAnsi="Franklin Gothic Book"/>
        </w:rPr>
        <w:t xml:space="preserve"> </w:t>
      </w:r>
      <w:r w:rsidRPr="00D7191D">
        <w:rPr>
          <w:rFonts w:ascii="Franklin Gothic Book" w:hAnsi="Franklin Gothic Book"/>
        </w:rPr>
        <w:t xml:space="preserve">to explore </w:t>
      </w:r>
      <w:r w:rsidR="00431F1F">
        <w:rPr>
          <w:rFonts w:ascii="Franklin Gothic Book" w:hAnsi="Franklin Gothic Book"/>
        </w:rPr>
        <w:t>connecting</w:t>
      </w:r>
      <w:r w:rsidRPr="00D7191D">
        <w:rPr>
          <w:rFonts w:ascii="Franklin Gothic Book" w:hAnsi="Franklin Gothic Book"/>
        </w:rPr>
        <w:t xml:space="preserve"> to that municipal system.</w:t>
      </w:r>
      <w:r w:rsidR="00431F1F">
        <w:rPr>
          <w:rFonts w:ascii="Franklin Gothic Book" w:hAnsi="Franklin Gothic Book"/>
        </w:rPr>
        <w:t xml:space="preserve"> </w:t>
      </w:r>
      <w:r w:rsidRPr="00D7191D">
        <w:rPr>
          <w:rFonts w:ascii="Franklin Gothic Book" w:hAnsi="Franklin Gothic Book"/>
        </w:rPr>
        <w:t xml:space="preserve">This type of project is called a Sewer Extension. The Village ARPA Grants are being administered in accordance with the Environmental Protection Rules Chapter 2, which requires Sewer Extension projects to meet certain demonstration requirements </w:t>
      </w:r>
      <w:r w:rsidR="00431F1F">
        <w:rPr>
          <w:rFonts w:ascii="Franklin Gothic Book" w:hAnsi="Franklin Gothic Book"/>
        </w:rPr>
        <w:t>t</w:t>
      </w:r>
      <w:r w:rsidRPr="00D7191D">
        <w:rPr>
          <w:rFonts w:ascii="Franklin Gothic Book" w:hAnsi="Franklin Gothic Book"/>
        </w:rPr>
        <w:t>o achieve eligibility beyond the planning phase of a project. Projects successfully completing that demonstration would be considered for the State Village ARPA Grant.</w:t>
      </w:r>
    </w:p>
    <w:p w14:paraId="3D02E5C0" w14:textId="77777777" w:rsidR="00431F1F" w:rsidRDefault="00431F1F" w:rsidP="00431F1F">
      <w:pPr>
        <w:spacing w:after="0"/>
        <w:rPr>
          <w:rFonts w:ascii="Franklin Gothic Book" w:hAnsi="Franklin Gothic Book" w:cstheme="minorHAnsi"/>
          <w:b/>
          <w:bCs/>
        </w:rPr>
      </w:pPr>
    </w:p>
    <w:p w14:paraId="251B5648" w14:textId="3606C6BC" w:rsidR="00D7191D" w:rsidRPr="00D7191D" w:rsidRDefault="00613F58" w:rsidP="00431F1F">
      <w:pPr>
        <w:spacing w:after="0"/>
        <w:rPr>
          <w:rFonts w:ascii="Franklin Gothic Book" w:hAnsi="Franklin Gothic Book" w:cstheme="minorHAnsi"/>
          <w:b/>
          <w:bCs/>
        </w:rPr>
      </w:pPr>
      <w:r w:rsidRPr="00D7191D">
        <w:rPr>
          <w:rFonts w:ascii="Franklin Gothic Book" w:hAnsi="Franklin Gothic Book" w:cstheme="minorHAnsi"/>
          <w:b/>
          <w:bCs/>
        </w:rPr>
        <w:t xml:space="preserve">Is affordability based on total annual cost with O&amp;M? </w:t>
      </w:r>
    </w:p>
    <w:p w14:paraId="02093C4C" w14:textId="4F77E726" w:rsidR="00613F58" w:rsidRDefault="00613F58" w:rsidP="00431F1F">
      <w:pPr>
        <w:spacing w:after="0"/>
        <w:rPr>
          <w:rFonts w:ascii="Franklin Gothic Book" w:hAnsi="Franklin Gothic Book" w:cstheme="minorHAnsi"/>
        </w:rPr>
      </w:pPr>
      <w:r w:rsidRPr="00D7191D">
        <w:rPr>
          <w:rFonts w:ascii="Franklin Gothic Book" w:hAnsi="Franklin Gothic Book" w:cstheme="minorHAnsi"/>
        </w:rPr>
        <w:t xml:space="preserve">Yes, and the </w:t>
      </w:r>
      <w:hyperlink r:id="rId11" w:history="1">
        <w:r w:rsidRPr="00D7191D">
          <w:rPr>
            <w:rStyle w:val="Hyperlink"/>
            <w:rFonts w:ascii="Franklin Gothic Book" w:hAnsi="Franklin Gothic Book" w:cstheme="minorHAnsi"/>
          </w:rPr>
          <w:t>Project Cost Summary</w:t>
        </w:r>
      </w:hyperlink>
      <w:r w:rsidRPr="00D7191D">
        <w:rPr>
          <w:rFonts w:ascii="Franklin Gothic Book" w:hAnsi="Franklin Gothic Book" w:cstheme="minorHAnsi"/>
        </w:rPr>
        <w:t xml:space="preserve"> template has been revised to include affordability with capital debt service and O&amp;M costs.</w:t>
      </w:r>
    </w:p>
    <w:p w14:paraId="45EB804F" w14:textId="77777777" w:rsidR="00431F1F" w:rsidRPr="00D7191D" w:rsidRDefault="00431F1F" w:rsidP="00431F1F">
      <w:pPr>
        <w:spacing w:after="0"/>
        <w:rPr>
          <w:rFonts w:ascii="Franklin Gothic Book" w:hAnsi="Franklin Gothic Book" w:cstheme="minorHAnsi"/>
        </w:rPr>
      </w:pPr>
    </w:p>
    <w:p w14:paraId="6B7282F1" w14:textId="77777777" w:rsidR="00D7191D" w:rsidRPr="00D7191D" w:rsidRDefault="00613F58" w:rsidP="00431F1F">
      <w:pPr>
        <w:spacing w:after="0"/>
        <w:rPr>
          <w:rFonts w:ascii="Franklin Gothic Book" w:hAnsi="Franklin Gothic Book"/>
          <w:b/>
          <w:bCs/>
        </w:rPr>
      </w:pPr>
      <w:r w:rsidRPr="00D7191D">
        <w:rPr>
          <w:rFonts w:ascii="Franklin Gothic Book" w:hAnsi="Franklin Gothic Book"/>
          <w:b/>
          <w:bCs/>
        </w:rPr>
        <w:t>Are the A</w:t>
      </w:r>
      <w:r w:rsidR="00D7191D" w:rsidRPr="00D7191D">
        <w:rPr>
          <w:rFonts w:ascii="Franklin Gothic Book" w:hAnsi="Franklin Gothic Book"/>
          <w:b/>
          <w:bCs/>
        </w:rPr>
        <w:t>RPA</w:t>
      </w:r>
      <w:r w:rsidRPr="00D7191D">
        <w:rPr>
          <w:rFonts w:ascii="Franklin Gothic Book" w:hAnsi="Franklin Gothic Book"/>
          <w:b/>
          <w:bCs/>
        </w:rPr>
        <w:t xml:space="preserve"> funds in addition to the $125,000 available under the forgivable planning grant? </w:t>
      </w:r>
    </w:p>
    <w:p w14:paraId="375ACF74" w14:textId="19FDD3E9" w:rsidR="00613F58" w:rsidRDefault="00613F58" w:rsidP="00431F1F">
      <w:pPr>
        <w:spacing w:after="0"/>
        <w:rPr>
          <w:rFonts w:ascii="Franklin Gothic Book" w:hAnsi="Franklin Gothic Book"/>
        </w:rPr>
      </w:pPr>
      <w:r w:rsidRPr="00D7191D">
        <w:rPr>
          <w:rFonts w:ascii="Franklin Gothic Book" w:hAnsi="Franklin Gothic Book"/>
        </w:rPr>
        <w:t>The ARPA funds are separate from the CWSRF planning subsidies and may be in addition to on a case-by-case basis. Project</w:t>
      </w:r>
      <w:r w:rsidR="00431F1F">
        <w:rPr>
          <w:rFonts w:ascii="Franklin Gothic Book" w:hAnsi="Franklin Gothic Book"/>
        </w:rPr>
        <w:t xml:space="preserve">s </w:t>
      </w:r>
      <w:r w:rsidRPr="00D7191D">
        <w:rPr>
          <w:rFonts w:ascii="Franklin Gothic Book" w:hAnsi="Franklin Gothic Book"/>
        </w:rPr>
        <w:t xml:space="preserve">receiving Village ARPA </w:t>
      </w:r>
      <w:r w:rsidR="00431F1F">
        <w:rPr>
          <w:rFonts w:ascii="Franklin Gothic Book" w:hAnsi="Franklin Gothic Book"/>
        </w:rPr>
        <w:t xml:space="preserve">funding </w:t>
      </w:r>
      <w:r w:rsidRPr="00D7191D">
        <w:rPr>
          <w:rFonts w:ascii="Franklin Gothic Book" w:hAnsi="Franklin Gothic Book"/>
        </w:rPr>
        <w:t>will have a full Project Cost Summary considered in the affordability and grant calculation process.</w:t>
      </w:r>
    </w:p>
    <w:p w14:paraId="664A99C7" w14:textId="77777777" w:rsidR="00431F1F" w:rsidRPr="00D7191D" w:rsidRDefault="00431F1F" w:rsidP="00431F1F">
      <w:pPr>
        <w:spacing w:after="0"/>
        <w:rPr>
          <w:rFonts w:ascii="Franklin Gothic Book" w:hAnsi="Franklin Gothic Book"/>
        </w:rPr>
      </w:pPr>
    </w:p>
    <w:p w14:paraId="2DC20A02" w14:textId="77777777" w:rsidR="00D7191D" w:rsidRPr="00431F1F" w:rsidRDefault="00613F58" w:rsidP="00431F1F">
      <w:pPr>
        <w:spacing w:after="0"/>
        <w:rPr>
          <w:rFonts w:ascii="Franklin Gothic Book" w:hAnsi="Franklin Gothic Book"/>
          <w:b/>
          <w:bCs/>
        </w:rPr>
      </w:pPr>
      <w:r w:rsidRPr="00431F1F">
        <w:rPr>
          <w:rFonts w:ascii="Franklin Gothic Book" w:hAnsi="Franklin Gothic Book"/>
          <w:b/>
          <w:bCs/>
        </w:rPr>
        <w:t xml:space="preserve">Can you elaborate on the "Documented health risk" required for drinking water SRF eligibility? </w:t>
      </w:r>
    </w:p>
    <w:p w14:paraId="31D5768D" w14:textId="4319EC45" w:rsidR="00613F58" w:rsidRDefault="00431F1F" w:rsidP="00431F1F">
      <w:pPr>
        <w:spacing w:after="0"/>
        <w:rPr>
          <w:rFonts w:ascii="Franklin Gothic Book" w:hAnsi="Franklin Gothic Book"/>
        </w:rPr>
      </w:pPr>
      <w:r>
        <w:rPr>
          <w:rFonts w:ascii="Franklin Gothic Book" w:hAnsi="Franklin Gothic Book"/>
        </w:rPr>
        <w:t>T</w:t>
      </w:r>
      <w:r w:rsidR="00613F58" w:rsidRPr="00431F1F">
        <w:rPr>
          <w:rFonts w:ascii="Franklin Gothic Book" w:hAnsi="Franklin Gothic Book"/>
        </w:rPr>
        <w:t>he project must “address existing public health problems with serious risk caused by unsafe drinking water.”</w:t>
      </w:r>
    </w:p>
    <w:p w14:paraId="619D3064" w14:textId="77777777" w:rsidR="00431F1F" w:rsidRPr="00431F1F" w:rsidRDefault="00431F1F" w:rsidP="00431F1F">
      <w:pPr>
        <w:spacing w:after="0"/>
        <w:rPr>
          <w:rFonts w:ascii="Franklin Gothic Book" w:hAnsi="Franklin Gothic Book"/>
        </w:rPr>
      </w:pPr>
    </w:p>
    <w:p w14:paraId="64AD8A3E" w14:textId="77777777" w:rsidR="00D7191D" w:rsidRPr="00431F1F" w:rsidRDefault="00613F58" w:rsidP="00431F1F">
      <w:pPr>
        <w:spacing w:after="0"/>
        <w:rPr>
          <w:rFonts w:ascii="Franklin Gothic Book" w:hAnsi="Franklin Gothic Book"/>
          <w:b/>
          <w:bCs/>
        </w:rPr>
      </w:pPr>
      <w:r w:rsidRPr="00D7191D">
        <w:rPr>
          <w:rFonts w:ascii="Franklin Gothic Book" w:hAnsi="Franklin Gothic Book"/>
          <w:b/>
          <w:bCs/>
        </w:rPr>
        <w:t xml:space="preserve">Is it possible to use reports of testing results at our town's small water system to document a public </w:t>
      </w:r>
      <w:r w:rsidRPr="00431F1F">
        <w:rPr>
          <w:rFonts w:ascii="Franklin Gothic Book" w:hAnsi="Franklin Gothic Book"/>
          <w:b/>
          <w:bCs/>
        </w:rPr>
        <w:t xml:space="preserve">health risk? Are there thresholds? </w:t>
      </w:r>
    </w:p>
    <w:p w14:paraId="6531CECB" w14:textId="07A5C27E" w:rsidR="00613F58" w:rsidRPr="00431F1F" w:rsidRDefault="00613F58" w:rsidP="00431F1F">
      <w:pPr>
        <w:spacing w:after="0"/>
        <w:rPr>
          <w:rFonts w:ascii="Franklin Gothic Book" w:hAnsi="Franklin Gothic Book"/>
        </w:rPr>
      </w:pPr>
      <w:r w:rsidRPr="00431F1F">
        <w:rPr>
          <w:rFonts w:ascii="Franklin Gothic Book" w:hAnsi="Franklin Gothic Book"/>
        </w:rPr>
        <w:t>Yes, test results from wells in a town may be used to demonstrate unsafe drinking water</w:t>
      </w:r>
      <w:r w:rsidR="00431F1F">
        <w:rPr>
          <w:rFonts w:ascii="Franklin Gothic Book" w:hAnsi="Franklin Gothic Book"/>
        </w:rPr>
        <w:t>. P</w:t>
      </w:r>
      <w:r w:rsidRPr="00431F1F">
        <w:rPr>
          <w:rFonts w:ascii="Franklin Gothic Book" w:hAnsi="Franklin Gothic Book"/>
        </w:rPr>
        <w:t xml:space="preserve">lease refer to the Primary Contaminants in the Vermont Water Supply Rule for thresholds.  </w:t>
      </w:r>
    </w:p>
    <w:p w14:paraId="42D73E34" w14:textId="77777777" w:rsidR="00613F58" w:rsidRPr="00613F58" w:rsidRDefault="00613F58" w:rsidP="00613F58">
      <w:pPr>
        <w:spacing w:after="0"/>
        <w:rPr>
          <w:rFonts w:ascii="Franklin Gothic Book" w:hAnsi="Franklin Gothic Book" w:cstheme="minorHAnsi"/>
          <w:i/>
          <w:iCs/>
        </w:rPr>
      </w:pPr>
      <w:r w:rsidRPr="00613F58">
        <w:rPr>
          <w:rFonts w:ascii="Franklin Gothic Book" w:hAnsi="Franklin Gothic Book" w:cstheme="minorHAnsi"/>
          <w:i/>
          <w:iCs/>
        </w:rPr>
        <w:lastRenderedPageBreak/>
        <w:t xml:space="preserve">More information: </w:t>
      </w:r>
    </w:p>
    <w:p w14:paraId="567A1F6A" w14:textId="262B30A4" w:rsidR="00613F58" w:rsidRPr="00613F58" w:rsidRDefault="00431F1F" w:rsidP="00613F58">
      <w:pPr>
        <w:pStyle w:val="ListParagraph"/>
        <w:numPr>
          <w:ilvl w:val="0"/>
          <w:numId w:val="1"/>
        </w:numPr>
        <w:rPr>
          <w:rFonts w:ascii="Franklin Gothic Book" w:hAnsi="Franklin Gothic Book" w:cstheme="minorHAnsi"/>
        </w:rPr>
      </w:pPr>
      <w:hyperlink r:id="rId12" w:history="1">
        <w:r w:rsidR="00613F58" w:rsidRPr="00431F1F">
          <w:rPr>
            <w:rStyle w:val="Hyperlink"/>
            <w:rFonts w:ascii="Franklin Gothic Book" w:hAnsi="Franklin Gothic Book" w:cstheme="minorHAnsi"/>
          </w:rPr>
          <w:t>Intended Use Plan for CWSRF</w:t>
        </w:r>
      </w:hyperlink>
    </w:p>
    <w:p w14:paraId="26140D23" w14:textId="30DEA197" w:rsidR="00613F58" w:rsidRPr="00613F58" w:rsidRDefault="00431F1F" w:rsidP="00613F58">
      <w:pPr>
        <w:pStyle w:val="ListParagraph"/>
        <w:numPr>
          <w:ilvl w:val="0"/>
          <w:numId w:val="1"/>
        </w:numPr>
        <w:rPr>
          <w:rFonts w:ascii="Franklin Gothic Book" w:hAnsi="Franklin Gothic Book" w:cstheme="minorHAnsi"/>
        </w:rPr>
      </w:pPr>
      <w:hyperlink r:id="rId13" w:history="1">
        <w:r w:rsidR="00613F58" w:rsidRPr="00431F1F">
          <w:rPr>
            <w:rStyle w:val="Hyperlink"/>
            <w:rFonts w:ascii="Franklin Gothic Book" w:hAnsi="Franklin Gothic Book" w:cstheme="minorHAnsi"/>
          </w:rPr>
          <w:t>WID Project Cost Summary</w:t>
        </w:r>
      </w:hyperlink>
      <w:r w:rsidR="00613F58" w:rsidRPr="00613F58">
        <w:rPr>
          <w:rFonts w:ascii="Franklin Gothic Book" w:hAnsi="Franklin Gothic Book" w:cstheme="minorHAnsi"/>
        </w:rPr>
        <w:t xml:space="preserve"> </w:t>
      </w:r>
    </w:p>
    <w:p w14:paraId="2FC928B8" w14:textId="77777777" w:rsidR="00431F1F" w:rsidRDefault="00613F58" w:rsidP="00613F58">
      <w:pPr>
        <w:pStyle w:val="ListParagraph"/>
        <w:numPr>
          <w:ilvl w:val="0"/>
          <w:numId w:val="1"/>
        </w:numPr>
        <w:rPr>
          <w:rFonts w:ascii="Franklin Gothic Book" w:hAnsi="Franklin Gothic Book"/>
        </w:rPr>
      </w:pPr>
      <w:r w:rsidRPr="00613F58">
        <w:rPr>
          <w:rFonts w:ascii="Franklin Gothic Book" w:hAnsi="Franklin Gothic Book"/>
        </w:rPr>
        <w:t xml:space="preserve">Current contacts for DWSRF and CWSRF IUP questions:  </w:t>
      </w:r>
    </w:p>
    <w:p w14:paraId="12159185" w14:textId="4D433404" w:rsidR="00431F1F" w:rsidRDefault="00613F58" w:rsidP="00431F1F">
      <w:pPr>
        <w:pStyle w:val="ListParagraph"/>
        <w:rPr>
          <w:rFonts w:ascii="Franklin Gothic Book" w:hAnsi="Franklin Gothic Book"/>
        </w:rPr>
      </w:pPr>
      <w:r w:rsidRPr="00613F58">
        <w:rPr>
          <w:rFonts w:ascii="Franklin Gothic Book" w:hAnsi="Franklin Gothic Book"/>
        </w:rPr>
        <w:t xml:space="preserve">Tom Brown (CWSRF) </w:t>
      </w:r>
      <w:r w:rsidR="00431F1F">
        <w:rPr>
          <w:rFonts w:ascii="Franklin Gothic Book" w:hAnsi="Franklin Gothic Book"/>
        </w:rPr>
        <w:t xml:space="preserve">at </w:t>
      </w:r>
      <w:r w:rsidR="00431F1F" w:rsidRPr="00431F1F">
        <w:rPr>
          <w:rFonts w:ascii="Franklin Gothic Book" w:hAnsi="Franklin Gothic Book"/>
        </w:rPr>
        <w:t>802-622-4205</w:t>
      </w:r>
      <w:r w:rsidR="00431F1F">
        <w:rPr>
          <w:rFonts w:ascii="Franklin Gothic Book" w:hAnsi="Franklin Gothic Book"/>
        </w:rPr>
        <w:t xml:space="preserve"> / </w:t>
      </w:r>
      <w:hyperlink r:id="rId14" w:history="1">
        <w:r w:rsidR="00431F1F" w:rsidRPr="00526A49">
          <w:rPr>
            <w:rStyle w:val="Hyperlink"/>
            <w:rFonts w:ascii="Franklin Gothic Book" w:hAnsi="Franklin Gothic Book"/>
          </w:rPr>
          <w:t>Thomas.Brown@vermont.gov</w:t>
        </w:r>
      </w:hyperlink>
      <w:r w:rsidR="00431F1F">
        <w:rPr>
          <w:rFonts w:ascii="Franklin Gothic Book" w:hAnsi="Franklin Gothic Book"/>
        </w:rPr>
        <w:t xml:space="preserve"> </w:t>
      </w:r>
    </w:p>
    <w:p w14:paraId="6A48B335" w14:textId="1BDDBDE7" w:rsidR="00613F58" w:rsidRPr="00613F58" w:rsidRDefault="00613F58" w:rsidP="00431F1F">
      <w:pPr>
        <w:pStyle w:val="ListParagraph"/>
        <w:rPr>
          <w:rFonts w:ascii="Franklin Gothic Book" w:hAnsi="Franklin Gothic Book"/>
        </w:rPr>
      </w:pPr>
      <w:r w:rsidRPr="00613F58">
        <w:rPr>
          <w:rFonts w:ascii="Franklin Gothic Book" w:hAnsi="Franklin Gothic Book"/>
        </w:rPr>
        <w:t>Amy Galford (DWSRF)</w:t>
      </w:r>
      <w:r w:rsidR="00431F1F">
        <w:rPr>
          <w:rFonts w:ascii="Franklin Gothic Book" w:hAnsi="Franklin Gothic Book"/>
        </w:rPr>
        <w:t xml:space="preserve"> at </w:t>
      </w:r>
      <w:r w:rsidR="007D4AAC" w:rsidRPr="007D4AAC">
        <w:rPr>
          <w:rFonts w:ascii="Franklin Gothic Book" w:hAnsi="Franklin Gothic Book"/>
        </w:rPr>
        <w:t>802</w:t>
      </w:r>
      <w:r w:rsidR="007D4AAC">
        <w:rPr>
          <w:rFonts w:ascii="Franklin Gothic Book" w:hAnsi="Franklin Gothic Book"/>
        </w:rPr>
        <w:t>-</w:t>
      </w:r>
      <w:r w:rsidR="007D4AAC" w:rsidRPr="007D4AAC">
        <w:rPr>
          <w:rFonts w:ascii="Franklin Gothic Book" w:hAnsi="Franklin Gothic Book"/>
        </w:rPr>
        <w:t>585-4904</w:t>
      </w:r>
      <w:r w:rsidRPr="00613F58">
        <w:rPr>
          <w:rFonts w:ascii="Franklin Gothic Book" w:hAnsi="Franklin Gothic Book"/>
        </w:rPr>
        <w:t xml:space="preserve"> </w:t>
      </w:r>
      <w:r w:rsidR="007D4AAC">
        <w:rPr>
          <w:rFonts w:ascii="Franklin Gothic Book" w:hAnsi="Franklin Gothic Book"/>
        </w:rPr>
        <w:t xml:space="preserve">/ </w:t>
      </w:r>
      <w:hyperlink r:id="rId15" w:history="1">
        <w:r w:rsidR="007D4AAC" w:rsidRPr="00526A49">
          <w:rPr>
            <w:rStyle w:val="Hyperlink"/>
            <w:rFonts w:ascii="Franklin Gothic Book" w:hAnsi="Franklin Gothic Book"/>
          </w:rPr>
          <w:t>amy.galford@vermont.gov</w:t>
        </w:r>
      </w:hyperlink>
      <w:r w:rsidR="007D4AAC">
        <w:rPr>
          <w:rFonts w:ascii="Franklin Gothic Book" w:hAnsi="Franklin Gothic Book"/>
        </w:rPr>
        <w:t xml:space="preserve"> </w:t>
      </w:r>
      <w:r w:rsidR="007D4AAC" w:rsidRPr="007D4AAC">
        <w:rPr>
          <w:rFonts w:ascii="Franklin Gothic Book" w:hAnsi="Franklin Gothic Book"/>
        </w:rPr>
        <w:t xml:space="preserve"> </w:t>
      </w:r>
    </w:p>
    <w:p w14:paraId="6ABE6C1A" w14:textId="77777777" w:rsidR="00613F58" w:rsidRDefault="00613F58"/>
    <w:sectPr w:rsidR="00613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C860" w14:textId="77777777" w:rsidR="00613F58" w:rsidRDefault="00613F58" w:rsidP="00613F58">
      <w:pPr>
        <w:spacing w:after="0" w:line="240" w:lineRule="auto"/>
      </w:pPr>
      <w:r>
        <w:separator/>
      </w:r>
    </w:p>
  </w:endnote>
  <w:endnote w:type="continuationSeparator" w:id="0">
    <w:p w14:paraId="59923F82" w14:textId="77777777" w:rsidR="00613F58" w:rsidRDefault="00613F58" w:rsidP="0061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A2DF" w14:textId="5067F6AE" w:rsidR="00613F58" w:rsidRDefault="00613F58" w:rsidP="00613F58">
    <w:pPr>
      <w:pStyle w:val="Footer"/>
      <w:jc w:val="right"/>
    </w:pPr>
    <w:r>
      <w:rPr>
        <w:noProof/>
      </w:rPr>
      <w:drawing>
        <wp:inline distT="0" distB="0" distL="0" distR="0" wp14:anchorId="7CA18ABD" wp14:editId="7BE365A3">
          <wp:extent cx="2569580" cy="946176"/>
          <wp:effectExtent l="0" t="0" r="254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6336" cy="952346"/>
                  </a:xfrm>
                  <a:prstGeom prst="rect">
                    <a:avLst/>
                  </a:prstGeom>
                </pic:spPr>
              </pic:pic>
            </a:graphicData>
          </a:graphic>
        </wp:inline>
      </w:drawing>
    </w:r>
  </w:p>
  <w:p w14:paraId="5FDC5DCD" w14:textId="77777777" w:rsidR="00613F58" w:rsidRDefault="0061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92E4" w14:textId="77777777" w:rsidR="00613F58" w:rsidRDefault="00613F58" w:rsidP="00613F58">
      <w:pPr>
        <w:spacing w:after="0" w:line="240" w:lineRule="auto"/>
      </w:pPr>
      <w:r>
        <w:separator/>
      </w:r>
    </w:p>
  </w:footnote>
  <w:footnote w:type="continuationSeparator" w:id="0">
    <w:p w14:paraId="6BAC6ECD" w14:textId="77777777" w:rsidR="00613F58" w:rsidRDefault="00613F58" w:rsidP="00613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A01A1"/>
    <w:multiLevelType w:val="hybridMultilevel"/>
    <w:tmpl w:val="37A06EC2"/>
    <w:lvl w:ilvl="0" w:tplc="747C1C32">
      <w:start w:val="1"/>
      <w:numFmt w:val="bullet"/>
      <w:lvlText w:val=""/>
      <w:lvlJc w:val="left"/>
      <w:pPr>
        <w:tabs>
          <w:tab w:val="num" w:pos="720"/>
        </w:tabs>
        <w:ind w:left="720" w:hanging="360"/>
      </w:pPr>
      <w:rPr>
        <w:rFonts w:ascii="Symbol" w:hAnsi="Symbol" w:hint="default"/>
        <w:sz w:val="20"/>
      </w:rPr>
    </w:lvl>
    <w:lvl w:ilvl="1" w:tplc="1FDCA81E">
      <w:start w:val="1"/>
      <w:numFmt w:val="bullet"/>
      <w:lvlText w:val=""/>
      <w:lvlJc w:val="left"/>
      <w:pPr>
        <w:tabs>
          <w:tab w:val="num" w:pos="1440"/>
        </w:tabs>
        <w:ind w:left="1440" w:hanging="360"/>
      </w:pPr>
      <w:rPr>
        <w:rFonts w:ascii="Symbol" w:hAnsi="Symbol" w:hint="default"/>
        <w:sz w:val="20"/>
      </w:rPr>
    </w:lvl>
    <w:lvl w:ilvl="2" w:tplc="31BA1400">
      <w:start w:val="1"/>
      <w:numFmt w:val="bullet"/>
      <w:lvlText w:val=""/>
      <w:lvlJc w:val="left"/>
      <w:pPr>
        <w:tabs>
          <w:tab w:val="num" w:pos="2160"/>
        </w:tabs>
        <w:ind w:left="2160" w:hanging="360"/>
      </w:pPr>
      <w:rPr>
        <w:rFonts w:ascii="Symbol" w:hAnsi="Symbol" w:hint="default"/>
        <w:sz w:val="20"/>
      </w:rPr>
    </w:lvl>
    <w:lvl w:ilvl="3" w:tplc="BFB05802" w:tentative="1">
      <w:start w:val="1"/>
      <w:numFmt w:val="bullet"/>
      <w:lvlText w:val=""/>
      <w:lvlJc w:val="left"/>
      <w:pPr>
        <w:tabs>
          <w:tab w:val="num" w:pos="2880"/>
        </w:tabs>
        <w:ind w:left="2880" w:hanging="360"/>
      </w:pPr>
      <w:rPr>
        <w:rFonts w:ascii="Symbol" w:hAnsi="Symbol" w:hint="default"/>
        <w:sz w:val="20"/>
      </w:rPr>
    </w:lvl>
    <w:lvl w:ilvl="4" w:tplc="DD7EB2E6" w:tentative="1">
      <w:start w:val="1"/>
      <w:numFmt w:val="bullet"/>
      <w:lvlText w:val=""/>
      <w:lvlJc w:val="left"/>
      <w:pPr>
        <w:tabs>
          <w:tab w:val="num" w:pos="3600"/>
        </w:tabs>
        <w:ind w:left="3600" w:hanging="360"/>
      </w:pPr>
      <w:rPr>
        <w:rFonts w:ascii="Symbol" w:hAnsi="Symbol" w:hint="default"/>
        <w:sz w:val="20"/>
      </w:rPr>
    </w:lvl>
    <w:lvl w:ilvl="5" w:tplc="B1A0C926" w:tentative="1">
      <w:start w:val="1"/>
      <w:numFmt w:val="bullet"/>
      <w:lvlText w:val=""/>
      <w:lvlJc w:val="left"/>
      <w:pPr>
        <w:tabs>
          <w:tab w:val="num" w:pos="4320"/>
        </w:tabs>
        <w:ind w:left="4320" w:hanging="360"/>
      </w:pPr>
      <w:rPr>
        <w:rFonts w:ascii="Symbol" w:hAnsi="Symbol" w:hint="default"/>
        <w:sz w:val="20"/>
      </w:rPr>
    </w:lvl>
    <w:lvl w:ilvl="6" w:tplc="2D9074CC" w:tentative="1">
      <w:start w:val="1"/>
      <w:numFmt w:val="bullet"/>
      <w:lvlText w:val=""/>
      <w:lvlJc w:val="left"/>
      <w:pPr>
        <w:tabs>
          <w:tab w:val="num" w:pos="5040"/>
        </w:tabs>
        <w:ind w:left="5040" w:hanging="360"/>
      </w:pPr>
      <w:rPr>
        <w:rFonts w:ascii="Symbol" w:hAnsi="Symbol" w:hint="default"/>
        <w:sz w:val="20"/>
      </w:rPr>
    </w:lvl>
    <w:lvl w:ilvl="7" w:tplc="218428BC" w:tentative="1">
      <w:start w:val="1"/>
      <w:numFmt w:val="bullet"/>
      <w:lvlText w:val=""/>
      <w:lvlJc w:val="left"/>
      <w:pPr>
        <w:tabs>
          <w:tab w:val="num" w:pos="5760"/>
        </w:tabs>
        <w:ind w:left="5760" w:hanging="360"/>
      </w:pPr>
      <w:rPr>
        <w:rFonts w:ascii="Symbol" w:hAnsi="Symbol" w:hint="default"/>
        <w:sz w:val="20"/>
      </w:rPr>
    </w:lvl>
    <w:lvl w:ilvl="8" w:tplc="404279AA"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8"/>
    <w:rsid w:val="001602B3"/>
    <w:rsid w:val="00431F1F"/>
    <w:rsid w:val="00613F58"/>
    <w:rsid w:val="007D4AAC"/>
    <w:rsid w:val="009E7F52"/>
    <w:rsid w:val="00D7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4325"/>
  <w15:chartTrackingRefBased/>
  <w15:docId w15:val="{0408C207-91EB-4FA5-A9BB-7765E2B1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F58"/>
    <w:rPr>
      <w:color w:val="0000FF"/>
      <w:u w:val="single"/>
    </w:rPr>
  </w:style>
  <w:style w:type="paragraph" w:styleId="ListParagraph">
    <w:name w:val="List Paragraph"/>
    <w:basedOn w:val="Normal"/>
    <w:uiPriority w:val="34"/>
    <w:qFormat/>
    <w:rsid w:val="00613F58"/>
    <w:pPr>
      <w:ind w:left="720"/>
      <w:contextualSpacing/>
    </w:pPr>
  </w:style>
  <w:style w:type="character" w:styleId="CommentReference">
    <w:name w:val="annotation reference"/>
    <w:basedOn w:val="DefaultParagraphFont"/>
    <w:uiPriority w:val="99"/>
    <w:semiHidden/>
    <w:unhideWhenUsed/>
    <w:rsid w:val="00613F58"/>
    <w:rPr>
      <w:sz w:val="16"/>
      <w:szCs w:val="16"/>
    </w:rPr>
  </w:style>
  <w:style w:type="paragraph" w:styleId="CommentText">
    <w:name w:val="annotation text"/>
    <w:basedOn w:val="Normal"/>
    <w:link w:val="CommentTextChar"/>
    <w:uiPriority w:val="99"/>
    <w:unhideWhenUsed/>
    <w:rsid w:val="00613F58"/>
    <w:pPr>
      <w:spacing w:line="240" w:lineRule="auto"/>
    </w:pPr>
    <w:rPr>
      <w:sz w:val="20"/>
      <w:szCs w:val="20"/>
    </w:rPr>
  </w:style>
  <w:style w:type="character" w:customStyle="1" w:styleId="CommentTextChar">
    <w:name w:val="Comment Text Char"/>
    <w:basedOn w:val="DefaultParagraphFont"/>
    <w:link w:val="CommentText"/>
    <w:uiPriority w:val="99"/>
    <w:rsid w:val="00613F58"/>
    <w:rPr>
      <w:sz w:val="20"/>
      <w:szCs w:val="20"/>
    </w:rPr>
  </w:style>
  <w:style w:type="character" w:styleId="Mention">
    <w:name w:val="Mention"/>
    <w:basedOn w:val="DefaultParagraphFont"/>
    <w:uiPriority w:val="99"/>
    <w:unhideWhenUsed/>
    <w:rsid w:val="00613F58"/>
    <w:rPr>
      <w:color w:val="2B579A"/>
      <w:shd w:val="clear" w:color="auto" w:fill="E1DFDD"/>
    </w:rPr>
  </w:style>
  <w:style w:type="paragraph" w:customStyle="1" w:styleId="paragraph">
    <w:name w:val="paragraph"/>
    <w:basedOn w:val="Normal"/>
    <w:rsid w:val="00613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3F58"/>
  </w:style>
  <w:style w:type="character" w:customStyle="1" w:styleId="eop">
    <w:name w:val="eop"/>
    <w:basedOn w:val="DefaultParagraphFont"/>
    <w:rsid w:val="00613F58"/>
  </w:style>
  <w:style w:type="paragraph" w:styleId="Header">
    <w:name w:val="header"/>
    <w:basedOn w:val="Normal"/>
    <w:link w:val="HeaderChar"/>
    <w:uiPriority w:val="99"/>
    <w:unhideWhenUsed/>
    <w:rsid w:val="00613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58"/>
  </w:style>
  <w:style w:type="paragraph" w:styleId="Footer">
    <w:name w:val="footer"/>
    <w:basedOn w:val="Normal"/>
    <w:link w:val="FooterChar"/>
    <w:uiPriority w:val="99"/>
    <w:unhideWhenUsed/>
    <w:rsid w:val="0061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F58"/>
  </w:style>
  <w:style w:type="character" w:styleId="UnresolvedMention">
    <w:name w:val="Unresolved Mention"/>
    <w:basedOn w:val="DefaultParagraphFont"/>
    <w:uiPriority w:val="99"/>
    <w:semiHidden/>
    <w:unhideWhenUsed/>
    <w:rsid w:val="00D7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O5O0IK26PEOcAnDtzHVZxiKMNQjBCCVMll_RkP0v2i5UNzJGRTNBU001M09XU0YwUVNUNVRaMElVRi4u" TargetMode="External"/><Relationship Id="rId13" Type="http://schemas.openxmlformats.org/officeDocument/2006/relationships/hyperlink" Target="&#8226;%09https:/anrweb.vt.gov/DEC/IronPIG/DownloadFile.aspx?DID=175611&amp;DV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vermont.gov/public-notices/%EF%BB%BFcall-priority-list-applications" TargetMode="External"/><Relationship Id="rId12" Type="http://schemas.openxmlformats.org/officeDocument/2006/relationships/hyperlink" Target="&#8226;%09https:/anrweb.vt.gov/DEC/IronPIG/DownloadFile.aspx?DID=191229&amp;DV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rweb.vt.gov/DEC/IronPIG/DownloadFile.aspx?DID=175611&amp;DVID=0" TargetMode="External"/><Relationship Id="rId5" Type="http://schemas.openxmlformats.org/officeDocument/2006/relationships/footnotes" Target="footnotes.xml"/><Relationship Id="rId15" Type="http://schemas.openxmlformats.org/officeDocument/2006/relationships/hyperlink" Target="mailto:amy.galford@vermont.gov" TargetMode="External"/><Relationship Id="rId10" Type="http://schemas.openxmlformats.org/officeDocument/2006/relationships/hyperlink" Target="https://dec.vermont.gov/village-wastewater" TargetMode="External"/><Relationship Id="rId4" Type="http://schemas.openxmlformats.org/officeDocument/2006/relationships/webSettings" Target="webSettings.xml"/><Relationship Id="rId9" Type="http://schemas.openxmlformats.org/officeDocument/2006/relationships/hyperlink" Target="https://dec.vermont.gov/water-investment/water-financing/srf/intended-use-plans" TargetMode="External"/><Relationship Id="rId14" Type="http://schemas.openxmlformats.org/officeDocument/2006/relationships/hyperlink" Target="mailto:Thomas.Brown@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1063</Words>
  <Characters>5574</Characters>
  <Application>Microsoft Office Word</Application>
  <DocSecurity>0</DocSecurity>
  <Lines>118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O'Casey, Elle</dc:creator>
  <cp:keywords/>
  <dc:description/>
  <cp:lastModifiedBy>O'Casey, Elle</cp:lastModifiedBy>
  <cp:revision>1</cp:revision>
  <dcterms:created xsi:type="dcterms:W3CDTF">2022-02-01T10:18:00Z</dcterms:created>
  <dcterms:modified xsi:type="dcterms:W3CDTF">2022-02-01T10:42:00Z</dcterms:modified>
</cp:coreProperties>
</file>